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1D" w:rsidRPr="00D0781D" w:rsidRDefault="00D0781D" w:rsidP="00E24C18">
      <w:pPr>
        <w:spacing w:after="0" w:line="288" w:lineRule="auto"/>
        <w:jc w:val="center"/>
        <w:outlineLvl w:val="0"/>
        <w:rPr>
          <w:rFonts w:eastAsia="Times New Roman" w:cs="Times New Roman"/>
          <w:b/>
          <w:bCs/>
          <w:kern w:val="36"/>
          <w:szCs w:val="28"/>
          <w:u w:val="single"/>
        </w:rPr>
      </w:pPr>
      <w:r w:rsidRPr="00D0781D">
        <w:rPr>
          <w:rFonts w:eastAsia="Times New Roman" w:cs="Times New Roman"/>
          <w:b/>
          <w:bCs/>
          <w:kern w:val="36"/>
          <w:szCs w:val="28"/>
          <w:u w:val="single"/>
        </w:rPr>
        <w:t>3 khoản trợ cấp cho cán bộ, công chức thôi việc do sắp xếp lại tổ chức</w:t>
      </w:r>
    </w:p>
    <w:p w:rsidR="00D0781D" w:rsidRPr="00D0781D" w:rsidRDefault="00D0781D" w:rsidP="00494EAB">
      <w:pPr>
        <w:spacing w:after="0" w:line="288" w:lineRule="auto"/>
        <w:jc w:val="both"/>
        <w:rPr>
          <w:rFonts w:ascii="Arial" w:eastAsia="Times New Roman" w:hAnsi="Arial" w:cs="Arial"/>
          <w:color w:val="222222"/>
          <w:szCs w:val="28"/>
        </w:rPr>
      </w:pPr>
      <w:r w:rsidRPr="00494EAB">
        <w:rPr>
          <w:rFonts w:ascii="Arial" w:eastAsia="Times New Roman" w:hAnsi="Arial" w:cs="Arial"/>
          <w:noProof/>
          <w:color w:val="2E2E2E"/>
          <w:szCs w:val="28"/>
        </w:rPr>
        <mc:AlternateContent>
          <mc:Choice Requires="wps">
            <w:drawing>
              <wp:inline distT="0" distB="0" distL="0" distR="0" wp14:anchorId="43BB806F" wp14:editId="0B3AFC04">
                <wp:extent cx="301625" cy="301625"/>
                <wp:effectExtent l="0" t="0" r="0" b="0"/>
                <wp:docPr id="3" name="Rectangle 3" descr="Kim Anh">
                  <a:hlinkClick xmlns:a="http://schemas.openxmlformats.org/drawingml/2006/main" r:id="rId6" tooltip="&quot;Kim Anh&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Kim Anh" href="https://luatvietnam.vn/author/kim-anh-luatvietnam-19.html" title="&quot;Kim Anh&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" o:button="t" filled="f" stroked="f">
                <v:fill o:detectmouseclick="t"/>
                <o:lock v:ext="edit" aspectratio="t"/>
                <w10:anchorlock/>
              </v:rect>
            </w:pict>
          </mc:Fallback>
        </mc:AlternateContent>
      </w:r>
    </w:p>
    <w:p w:rsidR="00D0781D" w:rsidRPr="00D0781D" w:rsidRDefault="00D0781D" w:rsidP="00E24C18">
      <w:pPr>
        <w:spacing w:after="0" w:line="288" w:lineRule="auto"/>
        <w:ind w:firstLine="720"/>
        <w:jc w:val="both"/>
        <w:rPr>
          <w:rFonts w:eastAsia="Times New Roman" w:cs="Times New Roman"/>
          <w:color w:val="222222"/>
          <w:szCs w:val="28"/>
        </w:rPr>
      </w:pPr>
      <w:r w:rsidRPr="00D0781D">
        <w:rPr>
          <w:rFonts w:eastAsia="Times New Roman" w:cs="Times New Roman"/>
          <w:color w:val="222222"/>
          <w:szCs w:val="28"/>
        </w:rPr>
        <w:t>Điều 5 </w:t>
      </w:r>
      <w:hyperlink r:id="rId7" w:history="1">
        <w:r w:rsidRPr="00494EAB">
          <w:rPr>
            <w:rFonts w:eastAsia="Times New Roman" w:cs="Times New Roman"/>
            <w:color w:val="A67942"/>
            <w:szCs w:val="28"/>
            <w:u w:val="single"/>
          </w:rPr>
          <w:t>Thông tư 1/2025/TT-BNV</w:t>
        </w:r>
      </w:hyperlink>
      <w:r w:rsidRPr="00D0781D">
        <w:rPr>
          <w:rFonts w:eastAsia="Times New Roman" w:cs="Times New Roman"/>
          <w:color w:val="222222"/>
          <w:szCs w:val="28"/>
        </w:rPr>
        <w:t> quy định, cán bộ, công chức và cán bộ, công chức cấp xã được cơ quan có thẩm quyền cho nghỉ thôi việc trong thực hiện sắp xếp tổ chức bộ máy của hệ thống chính trị thì được hưởng 03 khoản trợ cấp như sau:</w:t>
      </w:r>
    </w:p>
    <w:p w:rsidR="00D0781D" w:rsidRPr="00D0781D" w:rsidRDefault="00D0781D" w:rsidP="00E24C18">
      <w:pPr>
        <w:spacing w:after="0" w:line="288" w:lineRule="auto"/>
        <w:ind w:firstLine="720"/>
        <w:jc w:val="both"/>
        <w:outlineLvl w:val="1"/>
        <w:rPr>
          <w:rFonts w:eastAsia="Times New Roman" w:cs="Times New Roman"/>
          <w:b/>
          <w:bCs/>
          <w:color w:val="222222"/>
          <w:szCs w:val="28"/>
        </w:rPr>
      </w:pPr>
      <w:r w:rsidRPr="00D0781D">
        <w:rPr>
          <w:rFonts w:eastAsia="Times New Roman" w:cs="Times New Roman"/>
          <w:b/>
          <w:bCs/>
          <w:color w:val="222222"/>
          <w:szCs w:val="28"/>
        </w:rPr>
        <w:t>1. Trợ cấp thôi việc</w:t>
      </w:r>
    </w:p>
    <w:p w:rsidR="00D0781D" w:rsidRPr="00D0781D" w:rsidRDefault="00D0781D" w:rsidP="00E24C18">
      <w:pPr>
        <w:spacing w:after="0" w:line="288" w:lineRule="auto"/>
        <w:ind w:firstLine="720"/>
        <w:jc w:val="both"/>
        <w:rPr>
          <w:rFonts w:eastAsia="Times New Roman" w:cs="Times New Roman"/>
          <w:color w:val="222222"/>
          <w:szCs w:val="28"/>
        </w:rPr>
      </w:pPr>
      <w:r w:rsidRPr="00494EAB">
        <w:rPr>
          <w:rFonts w:eastAsia="Times New Roman" w:cs="Times New Roman"/>
          <w:b/>
          <w:bCs/>
          <w:i/>
          <w:iCs/>
          <w:color w:val="222222"/>
          <w:szCs w:val="28"/>
        </w:rPr>
        <w:t>Đối với người nghỉ thôi việc trong thời hạn 12 tháng đầu tiên:</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363"/>
        <w:gridCol w:w="308"/>
        <w:gridCol w:w="2945"/>
        <w:gridCol w:w="841"/>
        <w:gridCol w:w="3352"/>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0,8 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Thời gian để tính trợ cấp thôi việc</w:t>
            </w:r>
          </w:p>
        </w:tc>
      </w:tr>
    </w:tbl>
    <w:p w:rsidR="00D0781D" w:rsidRPr="00D0781D" w:rsidRDefault="00D0781D" w:rsidP="00494EAB">
      <w:pPr>
        <w:spacing w:after="0" w:line="288" w:lineRule="auto"/>
        <w:jc w:val="both"/>
        <w:rPr>
          <w:rFonts w:eastAsia="Times New Roman" w:cs="Times New Roman"/>
          <w:color w:val="222222"/>
          <w:szCs w:val="28"/>
        </w:rPr>
      </w:pPr>
      <w:r w:rsidRPr="00494EAB">
        <w:rPr>
          <w:rFonts w:eastAsia="Times New Roman" w:cs="Times New Roman"/>
          <w:b/>
          <w:bCs/>
          <w:i/>
          <w:iCs/>
          <w:color w:val="222222"/>
          <w:szCs w:val="28"/>
        </w:rPr>
        <w:t>Đối với người nghỉ thôi việc từ tháng thứ 13 trở đi: </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363"/>
        <w:gridCol w:w="308"/>
        <w:gridCol w:w="2945"/>
        <w:gridCol w:w="841"/>
        <w:gridCol w:w="3352"/>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0,4 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Thời gian để tính trợ cấp thôi việc</w:t>
            </w:r>
          </w:p>
        </w:tc>
      </w:tr>
    </w:tbl>
    <w:p w:rsidR="00D0781D" w:rsidRPr="00D0781D" w:rsidRDefault="00D0781D" w:rsidP="00494EAB">
      <w:pPr>
        <w:spacing w:after="0" w:line="288" w:lineRule="auto"/>
        <w:jc w:val="both"/>
        <w:rPr>
          <w:rFonts w:eastAsia="Times New Roman" w:cs="Times New Roman"/>
          <w:color w:val="222222"/>
          <w:szCs w:val="28"/>
        </w:rPr>
      </w:pPr>
      <w:r w:rsidRPr="00494EAB">
        <w:rPr>
          <w:rFonts w:eastAsia="Times New Roman" w:cs="Times New Roman"/>
          <w:b/>
          <w:bCs/>
          <w:i/>
          <w:iCs/>
          <w:color w:val="222222"/>
          <w:szCs w:val="28"/>
        </w:rPr>
        <w:t>Trong đó:</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Tiền lương tháng hiện hưởng quy định tại khoản 2 Điều 3 Thông tư 1/2025/TT-BNV:</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 bao gồm: Mức tiền lương theo ngạch, bậc, chức vụ, chức danh, chức danh nghề nghiệp và các khoản tiền phụ cấp lương.</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Các khoản phụ cấp gồm: Phụ cấp chức vụ lãnh đạo; phụ cấp thâm niên vượt khung; phụ cấp thâm niên nghề; phụ cấp ưu đãi theo nghề; phụ cấp trách nhiệm theo nghề; phụ cấp công vụ; phụ cấp công tác đảng, đoàn thể chính trị - xã hội, nếu có.</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029"/>
        <w:gridCol w:w="308"/>
        <w:gridCol w:w="1378"/>
        <w:gridCol w:w="290"/>
        <w:gridCol w:w="1444"/>
        <w:gridCol w:w="308"/>
        <w:gridCol w:w="941"/>
        <w:gridCol w:w="290"/>
        <w:gridCol w:w="886"/>
        <w:gridCol w:w="308"/>
        <w:gridCol w:w="1627"/>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lương theo ngạch, bậc, chức vụ, chức danh, chức danh nghề nghiệp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phụ cấp chức vụ lãnh đạo (nếu có)</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xml:space="preserve">Mức tiền các khoản phụ cấp tính theo lương ngạch, bậc, chức vụ, chức danh, chức danh nghề nghiệp (nếu </w:t>
            </w:r>
            <w:r w:rsidRPr="00D0781D">
              <w:rPr>
                <w:rFonts w:eastAsia="Times New Roman" w:cs="Times New Roman"/>
                <w:color w:val="222222"/>
                <w:szCs w:val="28"/>
              </w:rPr>
              <w:lastRenderedPageBreak/>
              <w:t>có)</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lastRenderedPageBreak/>
        <w:t>Mức lương cơ sở để tính tiền lương tháng hiện hưởng nêu trên là mức lương cơ sở do Chính phủ quy định tại thời điểm tháng trước liền kề tháng nghỉ việc.</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Thời gian để tính trợ cấp thôi việc quy định tại khoản 2 Điều 5 </w:t>
      </w:r>
      <w:hyperlink r:id="rId8" w:history="1">
        <w:r w:rsidRPr="00494EAB">
          <w:rPr>
            <w:rFonts w:eastAsia="Times New Roman" w:cs="Times New Roman"/>
            <w:color w:val="A67942"/>
            <w:szCs w:val="28"/>
            <w:u w:val="single"/>
          </w:rPr>
          <w:t>Nghị định 178/2024/NĐ-CP</w:t>
        </w:r>
      </w:hyperlink>
      <w:r w:rsidRPr="00D0781D">
        <w:rPr>
          <w:rFonts w:eastAsia="Times New Roman" w:cs="Times New Roman"/>
          <w:color w:val="222222"/>
          <w:szCs w:val="28"/>
        </w:rPr>
        <w:t>, là thời gian công tác có đóng bảo hiểm xã hội bắt buộc trong các cơ quan của Đảng, Nhà nước, tổ chức chính trị - xã hội và lực lượng vũ trang:</w:t>
      </w:r>
    </w:p>
    <w:p w:rsidR="00D0781D" w:rsidRPr="00D0781D" w:rsidRDefault="00D0781D" w:rsidP="00494EAB">
      <w:pPr>
        <w:numPr>
          <w:ilvl w:val="0"/>
          <w:numId w:val="2"/>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từ đủ 05 năm trở lên thì thời gian tính hưởng trợ cấp thôi việc tối đa 05 năm (60 tháng).</w:t>
      </w:r>
    </w:p>
    <w:p w:rsidR="00D0781D" w:rsidRPr="00D0781D" w:rsidRDefault="00D0781D" w:rsidP="00494EAB">
      <w:pPr>
        <w:numPr>
          <w:ilvl w:val="0"/>
          <w:numId w:val="2"/>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dưới 05 năm thì thời gian tính hưởng trợ cấp thôi việc bằng thời gian công tác có đóng bảo hiểm xã hội bắt buộc.</w:t>
      </w:r>
    </w:p>
    <w:p w:rsidR="00D0781D" w:rsidRPr="00D0781D" w:rsidRDefault="00D0781D" w:rsidP="00E24C18">
      <w:pPr>
        <w:spacing w:after="0" w:line="288" w:lineRule="auto"/>
        <w:ind w:firstLine="720"/>
        <w:jc w:val="both"/>
        <w:outlineLvl w:val="1"/>
        <w:rPr>
          <w:rFonts w:eastAsia="Times New Roman" w:cs="Times New Roman"/>
          <w:b/>
          <w:bCs/>
          <w:color w:val="222222"/>
          <w:szCs w:val="28"/>
        </w:rPr>
      </w:pPr>
      <w:r w:rsidRPr="00D0781D">
        <w:rPr>
          <w:rFonts w:eastAsia="Times New Roman" w:cs="Times New Roman"/>
          <w:b/>
          <w:bCs/>
          <w:color w:val="222222"/>
          <w:szCs w:val="28"/>
        </w:rPr>
        <w:t>2. Trợ cấp 1,5 tháng tiền lương hiện hưởng cho mỗi năm công tác có đóng bảo hiểm xã hội bắt buộc</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217"/>
        <w:gridCol w:w="308"/>
        <w:gridCol w:w="2505"/>
        <w:gridCol w:w="769"/>
        <w:gridCol w:w="4010"/>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1,5 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Số năm công tác có đóng bảo hiểm xã hội bắt buộc</w:t>
            </w:r>
          </w:p>
        </w:tc>
      </w:tr>
    </w:tbl>
    <w:p w:rsidR="00D0781D" w:rsidRPr="00D0781D" w:rsidRDefault="00D0781D" w:rsidP="00494EAB">
      <w:pPr>
        <w:spacing w:after="0" w:line="288" w:lineRule="auto"/>
        <w:jc w:val="both"/>
        <w:rPr>
          <w:rFonts w:eastAsia="Times New Roman" w:cs="Times New Roman"/>
          <w:color w:val="222222"/>
          <w:szCs w:val="28"/>
        </w:rPr>
      </w:pPr>
      <w:r w:rsidRPr="00494EAB">
        <w:rPr>
          <w:rFonts w:eastAsia="Times New Roman" w:cs="Times New Roman"/>
          <w:b/>
          <w:bCs/>
          <w:i/>
          <w:iCs/>
          <w:color w:val="222222"/>
          <w:szCs w:val="28"/>
        </w:rPr>
        <w:t>Trong đó</w:t>
      </w:r>
      <w:r w:rsidRPr="00D0781D">
        <w:rPr>
          <w:rFonts w:eastAsia="Times New Roman" w:cs="Times New Roman"/>
          <w:color w:val="222222"/>
          <w:szCs w:val="28"/>
        </w:rPr>
        <w:t>, tiền lương tháng hiện hưởng và số năm công tác có đóng bảo hiểm xã hội bắt buộc được tính như sau:</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Tiền lương tháng hiện hưởng bao gồm: Mức tiền lương theo ngạch, bậc, chức vụ, chức danh, chức danh nghề nghiệp và các khoản tiền phụ cấp lương (Phụ cấp chức vụ lãnh đạo; phụ cấp thâm niên vượt khung; phụ cấp thâm niên nghề; phụ cấp ưu đãi theo nghề; phụ cấp trách nhiệm theo nghề; phụ cấp công vụ; phụ cấp công tác đảng, đoàn thể chính trị - xã hội, nếu có).</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029"/>
        <w:gridCol w:w="308"/>
        <w:gridCol w:w="1378"/>
        <w:gridCol w:w="290"/>
        <w:gridCol w:w="1444"/>
        <w:gridCol w:w="308"/>
        <w:gridCol w:w="941"/>
        <w:gridCol w:w="290"/>
        <w:gridCol w:w="886"/>
        <w:gridCol w:w="308"/>
        <w:gridCol w:w="1627"/>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lương theo ngạch, bậc, chức vụ, chức danh, chức danh nghề nghiệp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phụ cấp chức vụ lãnh đạo (nếu có)</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tiền các khoản phụ cấp tính theo lương ngạch, bậc, chức vụ, chức danh, chức danh nghề nghiệp (nếu có)</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lastRenderedPageBreak/>
        <w:t>Mức lương cơ sở để tính tiền lương tháng hiện hưởng nêu trên là mức lương cơ sở do Chính phủ quy định tại thời điểm tháng trước liền kề tháng nghỉ việc.</w:t>
      </w:r>
    </w:p>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 Thời gian để tính trợ cấp thôi việc là thời gian công tác có đóng bảo hiểm xã hội bắt buộc trong các cơ quan của Đảng, Nhà nước, tổ chức chính trị - xã hội và lực lượng vũ trang:</w:t>
      </w:r>
    </w:p>
    <w:p w:rsidR="00D0781D" w:rsidRPr="00D0781D" w:rsidRDefault="00D0781D" w:rsidP="00494EAB">
      <w:pPr>
        <w:numPr>
          <w:ilvl w:val="0"/>
          <w:numId w:val="3"/>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từ đủ 05 năm trở lên thì thời gian tính hưởng trợ cấp thôi việc tối đa 05 năm (60 tháng).</w:t>
      </w:r>
    </w:p>
    <w:p w:rsidR="00D0781D" w:rsidRPr="00D0781D" w:rsidRDefault="00D0781D" w:rsidP="00494EAB">
      <w:pPr>
        <w:numPr>
          <w:ilvl w:val="0"/>
          <w:numId w:val="3"/>
        </w:numPr>
        <w:spacing w:after="0" w:line="288" w:lineRule="auto"/>
        <w:ind w:left="150"/>
        <w:jc w:val="both"/>
        <w:rPr>
          <w:rFonts w:eastAsia="Times New Roman" w:cs="Times New Roman"/>
          <w:color w:val="222222"/>
          <w:szCs w:val="28"/>
        </w:rPr>
      </w:pPr>
      <w:r w:rsidRPr="00D0781D">
        <w:rPr>
          <w:rFonts w:eastAsia="Times New Roman" w:cs="Times New Roman"/>
          <w:color w:val="222222"/>
          <w:szCs w:val="28"/>
        </w:rPr>
        <w:t>Trường hợp thời gian công tác có đóng bảo hiểm xã hội bắt buộc dưới 05 năm thì thời gian tính hưởng trợ cấp thôi việc bằng thời gian công tác có đóng bảo hiểm xã hội bắt buộc.</w:t>
      </w:r>
    </w:p>
    <w:p w:rsidR="00D0781D" w:rsidRPr="00D0781D" w:rsidRDefault="00D0781D" w:rsidP="00E24C18">
      <w:pPr>
        <w:spacing w:after="0" w:line="288" w:lineRule="auto"/>
        <w:ind w:firstLine="720"/>
        <w:jc w:val="both"/>
        <w:outlineLvl w:val="1"/>
        <w:rPr>
          <w:rFonts w:eastAsia="Times New Roman" w:cs="Times New Roman"/>
          <w:b/>
          <w:bCs/>
          <w:color w:val="222222"/>
          <w:szCs w:val="28"/>
        </w:rPr>
      </w:pPr>
      <w:r w:rsidRPr="00D0781D">
        <w:rPr>
          <w:rFonts w:eastAsia="Times New Roman" w:cs="Times New Roman"/>
          <w:b/>
          <w:bCs/>
          <w:color w:val="222222"/>
          <w:szCs w:val="28"/>
        </w:rPr>
        <w:t>3. Trợ cấp 3 tháng tiền lương hiện hưởng để tìm việc làm</w:t>
      </w:r>
    </w:p>
    <w:p w:rsidR="00D0781D" w:rsidRPr="00D0781D" w:rsidRDefault="00D0781D" w:rsidP="00E24C18">
      <w:pPr>
        <w:spacing w:after="0" w:line="288" w:lineRule="auto"/>
        <w:ind w:firstLine="720"/>
        <w:jc w:val="both"/>
        <w:rPr>
          <w:rFonts w:eastAsia="Times New Roman" w:cs="Times New Roman"/>
          <w:color w:val="222222"/>
          <w:szCs w:val="28"/>
        </w:rPr>
      </w:pPr>
      <w:bookmarkStart w:id="0" w:name="_GoBack"/>
      <w:bookmarkEnd w:id="0"/>
      <w:r w:rsidRPr="00D0781D">
        <w:rPr>
          <w:rFonts w:eastAsia="Times New Roman" w:cs="Times New Roman"/>
          <w:color w:val="222222"/>
          <w:szCs w:val="28"/>
        </w:rPr>
        <w:t>Cán bộ, công chức và cán bộ, công chức cấp xã được trợ cấp 03 tháng tiền lương hiện hưởng để tìm việc làm:</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2331"/>
        <w:gridCol w:w="471"/>
        <w:gridCol w:w="5242"/>
        <w:gridCol w:w="765"/>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trợ cấp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 3</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Tương tự như các mục trên, tiền lương tháng hiện hưởng cũng được tính theo công thức:</w:t>
      </w:r>
    </w:p>
    <w:tbl>
      <w:tblPr>
        <w:tblW w:w="8809" w:type="dxa"/>
        <w:tblCellSpacing w:w="0" w:type="dxa"/>
        <w:tblCellMar>
          <w:top w:w="75" w:type="dxa"/>
          <w:left w:w="75" w:type="dxa"/>
          <w:bottom w:w="75" w:type="dxa"/>
          <w:right w:w="75" w:type="dxa"/>
        </w:tblCellMar>
        <w:tblLook w:val="04A0" w:firstRow="1" w:lastRow="0" w:firstColumn="1" w:lastColumn="0" w:noHBand="0" w:noVBand="1"/>
      </w:tblPr>
      <w:tblGrid>
        <w:gridCol w:w="1029"/>
        <w:gridCol w:w="308"/>
        <w:gridCol w:w="1378"/>
        <w:gridCol w:w="290"/>
        <w:gridCol w:w="1444"/>
        <w:gridCol w:w="308"/>
        <w:gridCol w:w="941"/>
        <w:gridCol w:w="290"/>
        <w:gridCol w:w="886"/>
        <w:gridCol w:w="308"/>
        <w:gridCol w:w="1627"/>
      </w:tblGrid>
      <w:tr w:rsidR="00D0781D" w:rsidRPr="00D0781D" w:rsidTr="00D0781D">
        <w:trPr>
          <w:tblCellSpacing w:w="0" w:type="dxa"/>
        </w:trPr>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Tiền lương tháng hiện hưởng</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lương theo ngạch, bậc, chức vụ, chức danh, chức danh nghề nghiệp</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Hệ số phụ cấp chức vụ lãnh đạo (nếu có)</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x</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lương cơ sở</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w:t>
            </w:r>
          </w:p>
        </w:tc>
        <w:tc>
          <w:tcPr>
            <w:tcW w:w="0" w:type="auto"/>
            <w:vAlign w:val="center"/>
            <w:hideMark/>
          </w:tcPr>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Mức tiền các khoản phụ cấp tính theo lương ngạch, bậc, chức vụ, chức danh, chức danh nghề nghiệp (nếu có)</w:t>
            </w:r>
          </w:p>
        </w:tc>
      </w:tr>
    </w:tbl>
    <w:p w:rsidR="00D0781D" w:rsidRPr="00D0781D" w:rsidRDefault="00D0781D" w:rsidP="00494EAB">
      <w:pPr>
        <w:spacing w:after="0" w:line="288" w:lineRule="auto"/>
        <w:jc w:val="both"/>
        <w:rPr>
          <w:rFonts w:eastAsia="Times New Roman" w:cs="Times New Roman"/>
          <w:color w:val="222222"/>
          <w:szCs w:val="28"/>
        </w:rPr>
      </w:pPr>
      <w:r w:rsidRPr="00D0781D">
        <w:rPr>
          <w:rFonts w:eastAsia="Times New Roman" w:cs="Times New Roman"/>
          <w:color w:val="222222"/>
          <w:szCs w:val="28"/>
        </w:rPr>
        <w:t>Ngoài các khoản trợ cấp trên, cán bộ, công chức và cán bộ, công chức cấp xã được cơ quan có thẩm quyền cho nghỉ thôi việc còn được bảo lưu thời gian đóng bảo hiểm xã hội hoặc hưởng </w:t>
      </w:r>
      <w:hyperlink r:id="rId9" w:history="1">
        <w:r w:rsidRPr="00494EAB">
          <w:rPr>
            <w:rFonts w:eastAsia="Times New Roman" w:cs="Times New Roman"/>
            <w:color w:val="A67942"/>
            <w:szCs w:val="28"/>
            <w:u w:val="single"/>
          </w:rPr>
          <w:t>bảo hiểm xã hội một lần</w:t>
        </w:r>
      </w:hyperlink>
      <w:r w:rsidRPr="00D0781D">
        <w:rPr>
          <w:rFonts w:eastAsia="Times New Roman" w:cs="Times New Roman"/>
          <w:color w:val="222222"/>
          <w:szCs w:val="28"/>
        </w:rPr>
        <w:t> theo quy định của pháp luật về bảo hiểm xã hội.</w:t>
      </w:r>
    </w:p>
    <w:p w:rsidR="00823A3C" w:rsidRPr="00494EAB" w:rsidRDefault="00823A3C" w:rsidP="00494EAB">
      <w:pPr>
        <w:spacing w:after="0" w:line="288" w:lineRule="auto"/>
        <w:jc w:val="both"/>
        <w:rPr>
          <w:szCs w:val="28"/>
        </w:rPr>
      </w:pPr>
    </w:p>
    <w:sectPr w:rsidR="00823A3C" w:rsidRPr="0049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4561"/>
    <w:multiLevelType w:val="multilevel"/>
    <w:tmpl w:val="ACC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A7977"/>
    <w:multiLevelType w:val="multilevel"/>
    <w:tmpl w:val="2CB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414B2"/>
    <w:multiLevelType w:val="multilevel"/>
    <w:tmpl w:val="50DC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1D"/>
    <w:rsid w:val="00494EAB"/>
    <w:rsid w:val="00823A3C"/>
    <w:rsid w:val="00D0781D"/>
    <w:rsid w:val="00E2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81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0781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1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0781D"/>
    <w:rPr>
      <w:rFonts w:eastAsia="Times New Roman" w:cs="Times New Roman"/>
      <w:b/>
      <w:bCs/>
      <w:sz w:val="36"/>
      <w:szCs w:val="36"/>
    </w:rPr>
  </w:style>
  <w:style w:type="character" w:styleId="Hyperlink">
    <w:name w:val="Hyperlink"/>
    <w:basedOn w:val="DefaultParagraphFont"/>
    <w:uiPriority w:val="99"/>
    <w:semiHidden/>
    <w:unhideWhenUsed/>
    <w:rsid w:val="00D0781D"/>
    <w:rPr>
      <w:color w:val="0000FF"/>
      <w:u w:val="single"/>
    </w:rPr>
  </w:style>
  <w:style w:type="character" w:styleId="Strong">
    <w:name w:val="Strong"/>
    <w:basedOn w:val="DefaultParagraphFont"/>
    <w:uiPriority w:val="22"/>
    <w:qFormat/>
    <w:rsid w:val="00D0781D"/>
    <w:rPr>
      <w:b/>
      <w:bCs/>
    </w:rPr>
  </w:style>
  <w:style w:type="character" w:customStyle="1" w:styleId="toc-title">
    <w:name w:val="toc-title"/>
    <w:basedOn w:val="DefaultParagraphFont"/>
    <w:rsid w:val="00D0781D"/>
  </w:style>
  <w:style w:type="character" w:customStyle="1" w:styleId="toc-show">
    <w:name w:val="toc-show"/>
    <w:basedOn w:val="DefaultParagraphFont"/>
    <w:rsid w:val="00D0781D"/>
  </w:style>
  <w:style w:type="character" w:customStyle="1" w:styleId="toctext">
    <w:name w:val="toctext"/>
    <w:basedOn w:val="DefaultParagraphFont"/>
    <w:rsid w:val="00D0781D"/>
  </w:style>
  <w:style w:type="paragraph" w:styleId="NormalWeb">
    <w:name w:val="Normal (Web)"/>
    <w:basedOn w:val="Normal"/>
    <w:uiPriority w:val="99"/>
    <w:unhideWhenUsed/>
    <w:rsid w:val="00D0781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0781D"/>
    <w:rPr>
      <w:i/>
      <w:iCs/>
    </w:rPr>
  </w:style>
  <w:style w:type="paragraph" w:styleId="BalloonText">
    <w:name w:val="Balloon Text"/>
    <w:basedOn w:val="Normal"/>
    <w:link w:val="BalloonTextChar"/>
    <w:uiPriority w:val="99"/>
    <w:semiHidden/>
    <w:unhideWhenUsed/>
    <w:rsid w:val="00D07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81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0781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1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0781D"/>
    <w:rPr>
      <w:rFonts w:eastAsia="Times New Roman" w:cs="Times New Roman"/>
      <w:b/>
      <w:bCs/>
      <w:sz w:val="36"/>
      <w:szCs w:val="36"/>
    </w:rPr>
  </w:style>
  <w:style w:type="character" w:styleId="Hyperlink">
    <w:name w:val="Hyperlink"/>
    <w:basedOn w:val="DefaultParagraphFont"/>
    <w:uiPriority w:val="99"/>
    <w:semiHidden/>
    <w:unhideWhenUsed/>
    <w:rsid w:val="00D0781D"/>
    <w:rPr>
      <w:color w:val="0000FF"/>
      <w:u w:val="single"/>
    </w:rPr>
  </w:style>
  <w:style w:type="character" w:styleId="Strong">
    <w:name w:val="Strong"/>
    <w:basedOn w:val="DefaultParagraphFont"/>
    <w:uiPriority w:val="22"/>
    <w:qFormat/>
    <w:rsid w:val="00D0781D"/>
    <w:rPr>
      <w:b/>
      <w:bCs/>
    </w:rPr>
  </w:style>
  <w:style w:type="character" w:customStyle="1" w:styleId="toc-title">
    <w:name w:val="toc-title"/>
    <w:basedOn w:val="DefaultParagraphFont"/>
    <w:rsid w:val="00D0781D"/>
  </w:style>
  <w:style w:type="character" w:customStyle="1" w:styleId="toc-show">
    <w:name w:val="toc-show"/>
    <w:basedOn w:val="DefaultParagraphFont"/>
    <w:rsid w:val="00D0781D"/>
  </w:style>
  <w:style w:type="character" w:customStyle="1" w:styleId="toctext">
    <w:name w:val="toctext"/>
    <w:basedOn w:val="DefaultParagraphFont"/>
    <w:rsid w:val="00D0781D"/>
  </w:style>
  <w:style w:type="paragraph" w:styleId="NormalWeb">
    <w:name w:val="Normal (Web)"/>
    <w:basedOn w:val="Normal"/>
    <w:uiPriority w:val="99"/>
    <w:unhideWhenUsed/>
    <w:rsid w:val="00D0781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0781D"/>
    <w:rPr>
      <w:i/>
      <w:iCs/>
    </w:rPr>
  </w:style>
  <w:style w:type="paragraph" w:styleId="BalloonText">
    <w:name w:val="Balloon Text"/>
    <w:basedOn w:val="Normal"/>
    <w:link w:val="BalloonTextChar"/>
    <w:uiPriority w:val="99"/>
    <w:semiHidden/>
    <w:unhideWhenUsed/>
    <w:rsid w:val="00D07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183">
      <w:bodyDiv w:val="1"/>
      <w:marLeft w:val="0"/>
      <w:marRight w:val="0"/>
      <w:marTop w:val="0"/>
      <w:marBottom w:val="0"/>
      <w:divBdr>
        <w:top w:val="none" w:sz="0" w:space="0" w:color="auto"/>
        <w:left w:val="none" w:sz="0" w:space="0" w:color="auto"/>
        <w:bottom w:val="none" w:sz="0" w:space="0" w:color="auto"/>
        <w:right w:val="none" w:sz="0" w:space="0" w:color="auto"/>
      </w:divBdr>
      <w:divsChild>
        <w:div w:id="844824921">
          <w:marLeft w:val="0"/>
          <w:marRight w:val="0"/>
          <w:marTop w:val="0"/>
          <w:marBottom w:val="0"/>
          <w:divBdr>
            <w:top w:val="none" w:sz="0" w:space="0" w:color="auto"/>
            <w:left w:val="none" w:sz="0" w:space="0" w:color="auto"/>
            <w:bottom w:val="none" w:sz="0" w:space="0" w:color="auto"/>
            <w:right w:val="none" w:sz="0" w:space="0" w:color="auto"/>
          </w:divBdr>
          <w:divsChild>
            <w:div w:id="377357742">
              <w:marLeft w:val="0"/>
              <w:marRight w:val="240"/>
              <w:marTop w:val="0"/>
              <w:marBottom w:val="0"/>
              <w:divBdr>
                <w:top w:val="none" w:sz="0" w:space="0" w:color="auto"/>
                <w:left w:val="none" w:sz="0" w:space="0" w:color="auto"/>
                <w:bottom w:val="none" w:sz="0" w:space="0" w:color="auto"/>
                <w:right w:val="none" w:sz="0" w:space="0" w:color="auto"/>
              </w:divBdr>
              <w:divsChild>
                <w:div w:id="831798497">
                  <w:marLeft w:val="0"/>
                  <w:marRight w:val="0"/>
                  <w:marTop w:val="0"/>
                  <w:marBottom w:val="0"/>
                  <w:divBdr>
                    <w:top w:val="none" w:sz="0" w:space="0" w:color="auto"/>
                    <w:left w:val="none" w:sz="0" w:space="0" w:color="auto"/>
                    <w:bottom w:val="none" w:sz="0" w:space="0" w:color="auto"/>
                    <w:right w:val="none" w:sz="0" w:space="0" w:color="auto"/>
                  </w:divBdr>
                  <w:divsChild>
                    <w:div w:id="379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95">
              <w:marLeft w:val="0"/>
              <w:marRight w:val="0"/>
              <w:marTop w:val="0"/>
              <w:marBottom w:val="0"/>
              <w:divBdr>
                <w:top w:val="none" w:sz="0" w:space="0" w:color="auto"/>
                <w:left w:val="none" w:sz="0" w:space="0" w:color="auto"/>
                <w:bottom w:val="none" w:sz="0" w:space="0" w:color="auto"/>
                <w:right w:val="none" w:sz="0" w:space="0" w:color="auto"/>
              </w:divBdr>
              <w:divsChild>
                <w:div w:id="1151211926">
                  <w:marLeft w:val="0"/>
                  <w:marRight w:val="0"/>
                  <w:marTop w:val="0"/>
                  <w:marBottom w:val="0"/>
                  <w:divBdr>
                    <w:top w:val="none" w:sz="0" w:space="0" w:color="auto"/>
                    <w:left w:val="none" w:sz="0" w:space="0" w:color="auto"/>
                    <w:bottom w:val="none" w:sz="0" w:space="0" w:color="auto"/>
                    <w:right w:val="none" w:sz="0" w:space="0" w:color="auto"/>
                  </w:divBdr>
                  <w:divsChild>
                    <w:div w:id="2143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68368">
          <w:marLeft w:val="0"/>
          <w:marRight w:val="0"/>
          <w:marTop w:val="0"/>
          <w:marBottom w:val="240"/>
          <w:divBdr>
            <w:top w:val="none" w:sz="0" w:space="0" w:color="auto"/>
            <w:left w:val="none" w:sz="0" w:space="0" w:color="auto"/>
            <w:bottom w:val="none" w:sz="0" w:space="0" w:color="auto"/>
            <w:right w:val="none" w:sz="0" w:space="0" w:color="auto"/>
          </w:divBdr>
          <w:divsChild>
            <w:div w:id="1004672210">
              <w:marLeft w:val="0"/>
              <w:marRight w:val="0"/>
              <w:marTop w:val="0"/>
              <w:marBottom w:val="0"/>
              <w:divBdr>
                <w:top w:val="none" w:sz="0" w:space="0" w:color="auto"/>
                <w:left w:val="none" w:sz="0" w:space="0" w:color="auto"/>
                <w:bottom w:val="none" w:sz="0" w:space="0" w:color="auto"/>
                <w:right w:val="none" w:sz="0" w:space="0" w:color="auto"/>
              </w:divBdr>
            </w:div>
            <w:div w:id="1784376561">
              <w:marLeft w:val="0"/>
              <w:marRight w:val="0"/>
              <w:marTop w:val="240"/>
              <w:marBottom w:val="240"/>
              <w:divBdr>
                <w:top w:val="single" w:sz="6" w:space="9" w:color="E0E0E0"/>
                <w:left w:val="single" w:sz="6" w:space="12" w:color="E0E0E0"/>
                <w:bottom w:val="single" w:sz="6" w:space="9" w:color="E0E0E0"/>
                <w:right w:val="single" w:sz="6" w:space="12" w:color="E0E0E0"/>
              </w:divBdr>
              <w:divsChild>
                <w:div w:id="961838792">
                  <w:marLeft w:val="0"/>
                  <w:marRight w:val="0"/>
                  <w:marTop w:val="0"/>
                  <w:marBottom w:val="0"/>
                  <w:divBdr>
                    <w:top w:val="none" w:sz="0" w:space="0" w:color="auto"/>
                    <w:left w:val="none" w:sz="0" w:space="0" w:color="auto"/>
                    <w:bottom w:val="none" w:sz="0" w:space="0" w:color="auto"/>
                    <w:right w:val="none" w:sz="0" w:space="0" w:color="auto"/>
                  </w:divBdr>
                </w:div>
              </w:divsChild>
            </w:div>
            <w:div w:id="313804924">
              <w:marLeft w:val="0"/>
              <w:marRight w:val="0"/>
              <w:marTop w:val="0"/>
              <w:marBottom w:val="0"/>
              <w:divBdr>
                <w:top w:val="none" w:sz="0" w:space="0" w:color="auto"/>
                <w:left w:val="none" w:sz="0" w:space="0" w:color="auto"/>
                <w:bottom w:val="none" w:sz="0" w:space="0" w:color="auto"/>
                <w:right w:val="none" w:sz="0" w:space="0" w:color="auto"/>
              </w:divBdr>
              <w:divsChild>
                <w:div w:id="1526362145">
                  <w:marLeft w:val="0"/>
                  <w:marRight w:val="0"/>
                  <w:marTop w:val="0"/>
                  <w:marBottom w:val="0"/>
                  <w:divBdr>
                    <w:top w:val="none" w:sz="0" w:space="0" w:color="auto"/>
                    <w:left w:val="none" w:sz="0" w:space="0" w:color="auto"/>
                    <w:bottom w:val="none" w:sz="0" w:space="0" w:color="auto"/>
                    <w:right w:val="none" w:sz="0" w:space="0" w:color="auto"/>
                  </w:divBdr>
                </w:div>
                <w:div w:id="922373473">
                  <w:marLeft w:val="0"/>
                  <w:marRight w:val="0"/>
                  <w:marTop w:val="0"/>
                  <w:marBottom w:val="0"/>
                  <w:divBdr>
                    <w:top w:val="none" w:sz="0" w:space="0" w:color="auto"/>
                    <w:left w:val="none" w:sz="0" w:space="0" w:color="auto"/>
                    <w:bottom w:val="none" w:sz="0" w:space="0" w:color="auto"/>
                    <w:right w:val="none" w:sz="0" w:space="0" w:color="auto"/>
                  </w:divBdr>
                </w:div>
                <w:div w:id="195242088">
                  <w:marLeft w:val="0"/>
                  <w:marRight w:val="0"/>
                  <w:marTop w:val="0"/>
                  <w:marBottom w:val="0"/>
                  <w:divBdr>
                    <w:top w:val="none" w:sz="0" w:space="0" w:color="auto"/>
                    <w:left w:val="none" w:sz="0" w:space="0" w:color="auto"/>
                    <w:bottom w:val="none" w:sz="0" w:space="0" w:color="auto"/>
                    <w:right w:val="none" w:sz="0" w:space="0" w:color="auto"/>
                  </w:divBdr>
                </w:div>
                <w:div w:id="45952419">
                  <w:marLeft w:val="0"/>
                  <w:marRight w:val="0"/>
                  <w:marTop w:val="0"/>
                  <w:marBottom w:val="0"/>
                  <w:divBdr>
                    <w:top w:val="none" w:sz="0" w:space="0" w:color="auto"/>
                    <w:left w:val="none" w:sz="0" w:space="0" w:color="auto"/>
                    <w:bottom w:val="none" w:sz="0" w:space="0" w:color="auto"/>
                    <w:right w:val="none" w:sz="0" w:space="0" w:color="auto"/>
                  </w:divBdr>
                </w:div>
                <w:div w:id="55007204">
                  <w:marLeft w:val="0"/>
                  <w:marRight w:val="0"/>
                  <w:marTop w:val="0"/>
                  <w:marBottom w:val="0"/>
                  <w:divBdr>
                    <w:top w:val="none" w:sz="0" w:space="0" w:color="auto"/>
                    <w:left w:val="none" w:sz="0" w:space="0" w:color="auto"/>
                    <w:bottom w:val="none" w:sz="0" w:space="0" w:color="auto"/>
                    <w:right w:val="none" w:sz="0" w:space="0" w:color="auto"/>
                  </w:divBdr>
                </w:div>
                <w:div w:id="1147168356">
                  <w:marLeft w:val="0"/>
                  <w:marRight w:val="0"/>
                  <w:marTop w:val="0"/>
                  <w:marBottom w:val="0"/>
                  <w:divBdr>
                    <w:top w:val="none" w:sz="0" w:space="0" w:color="auto"/>
                    <w:left w:val="none" w:sz="0" w:space="0" w:color="auto"/>
                    <w:bottom w:val="none" w:sz="0" w:space="0" w:color="auto"/>
                    <w:right w:val="none" w:sz="0" w:space="0" w:color="auto"/>
                  </w:divBdr>
                </w:div>
                <w:div w:id="6979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178-2024-nd-cp-chinh-sach-doi-voi-can-bo-cong-chuc-trong-thuc-hien-sap-xep-to-chuc-bo-may-383067-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hanh-chinh/thong-tu-1-2025-tt-bnv-huong-dan-che-do-voi-can-bo-va-nguoi-lao-dong-trong-thuc-hien-sap-xep-to-chuc-bo-may-cua-he-thong-chinh-tri-386191-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author/kim-anh-luatvietnam-19.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bao-hiem/bao-hiem-xa-hoi-1-lan-563-19525-article.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C2CC2-E10F-43EB-9964-9D1E1491A29F}"/>
</file>

<file path=customXml/itemProps2.xml><?xml version="1.0" encoding="utf-8"?>
<ds:datastoreItem xmlns:ds="http://schemas.openxmlformats.org/officeDocument/2006/customXml" ds:itemID="{CF344428-46E4-4212-AEE0-3ECAAC5AE4C3}"/>
</file>

<file path=customXml/itemProps3.xml><?xml version="1.0" encoding="utf-8"?>
<ds:datastoreItem xmlns:ds="http://schemas.openxmlformats.org/officeDocument/2006/customXml" ds:itemID="{D05739C4-7C77-4257-90C9-C3E4AA0C437E}"/>
</file>

<file path=docProps/app.xml><?xml version="1.0" encoding="utf-8"?>
<Properties xmlns="http://schemas.openxmlformats.org/officeDocument/2006/extended-properties" xmlns:vt="http://schemas.openxmlformats.org/officeDocument/2006/docPropsVTypes">
  <Template>Normal</Template>
  <TotalTime>21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2025-02-04T08:36:00Z</dcterms:created>
  <dcterms:modified xsi:type="dcterms:W3CDTF">2025-02-04T08:57:00Z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